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5</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十二</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12</w:t>
      </w:r>
    </w:p>
    <w:p w14:paraId="3E2BA52B">
      <w:pPr>
        <w:pStyle w:val="8"/>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8"/>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8"/>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8"/>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06</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800307"/>
      <w:bookmarkStart w:id="1" w:name="_Toc58354539"/>
      <w:bookmarkStart w:id="2" w:name="_Toc17799794"/>
      <w:bookmarkStart w:id="3" w:name="_Toc17799732"/>
      <w:bookmarkStart w:id="4" w:name="_Toc1780008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4858328"/>
      <w:bookmarkStart w:id="6" w:name="_Toc58354546"/>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十二</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采购项目（十二）</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5-12</w:t>
      </w:r>
    </w:p>
    <w:p w14:paraId="5729640A">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14:paraId="12399A73">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非医疗器械或消字号产品提供生产厂家资质</w:t>
      </w:r>
      <w:r>
        <w:rPr>
          <w:rFonts w:hint="eastAsia" w:ascii="宋体" w:hAnsi="宋体"/>
          <w:color w:val="auto"/>
          <w:sz w:val="21"/>
          <w:szCs w:val="21"/>
          <w:highlight w:val="none"/>
        </w:rPr>
        <w:t>和所投各产品的《医疗器械注册（备案）证》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非医疗器械或消字号产品提供不作医疗器械管理证明</w:t>
      </w:r>
      <w:r>
        <w:rPr>
          <w:rFonts w:hint="eastAsia" w:ascii="宋体" w:hAnsi="宋体"/>
          <w:color w:val="auto"/>
          <w:sz w:val="21"/>
          <w:szCs w:val="21"/>
          <w:highlight w:val="none"/>
        </w:rPr>
        <w:t>【要求在现场报名时提供加盖供应商公章的上述证书复印件】；</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）提供近一个月的被授权人社会保险证明；</w:t>
      </w:r>
    </w:p>
    <w:p w14:paraId="76427FD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19</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25</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5</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6</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26</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8"/>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12+包号+公司名称方式命名拷贝至U盘与纸质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26</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26</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8"/>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35"/>
      <w:bookmarkStart w:id="12" w:name="_Toc17800310"/>
      <w:bookmarkStart w:id="13" w:name="_Toc17800092"/>
      <w:bookmarkStart w:id="14" w:name="_Toc17799797"/>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616"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386"/>
        <w:gridCol w:w="1861"/>
        <w:gridCol w:w="1341"/>
        <w:gridCol w:w="1569"/>
        <w:gridCol w:w="760"/>
        <w:gridCol w:w="1041"/>
        <w:gridCol w:w="1016"/>
        <w:gridCol w:w="2186"/>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56"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86"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医用耗材名称</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参考</w:t>
            </w:r>
            <w:r>
              <w:rPr>
                <w:rFonts w:hint="eastAsia" w:ascii="宋体" w:hAnsi="宋体" w:eastAsia="宋体" w:cs="宋体"/>
                <w:b/>
                <w:bCs/>
                <w:i w:val="0"/>
                <w:iCs w:val="0"/>
                <w:color w:val="auto"/>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预计采购数量</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上限价（元）</w:t>
            </w:r>
          </w:p>
        </w:tc>
        <w:tc>
          <w:tcPr>
            <w:tcW w:w="2186"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15" w:name="OLE_LINK1" w:colFirst="5" w:colLast="5"/>
            <w:r>
              <w:rPr>
                <w:rFonts w:hint="eastAsia" w:ascii="宋体" w:hAnsi="宋体" w:eastAsia="宋体" w:cs="宋体"/>
                <w:i w:val="0"/>
                <w:iCs w:val="0"/>
                <w:color w:val="000000"/>
                <w:kern w:val="0"/>
                <w:sz w:val="22"/>
                <w:szCs w:val="22"/>
                <w:u w:val="none"/>
                <w:lang w:val="en-US" w:eastAsia="zh-CN" w:bidi="ar"/>
              </w:rPr>
              <w:t>1</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06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一次性使用无菌血液透析用中心静脉导管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广东百合</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双腔11.5Fr,外径：3.80，有效长度：13cm  复合装一体尖端（FH-2154）</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rPr>
                <w:rFonts w:hint="default" w:ascii="宋体" w:hAnsi="宋体" w:eastAsia="宋体" w:cs="宋体"/>
                <w:i w:val="0"/>
                <w:iCs w:val="0"/>
                <w:color w:val="000000"/>
                <w:sz w:val="22"/>
                <w:szCs w:val="22"/>
                <w:u w:val="none"/>
                <w:lang w:val="en-US" w:eastAsia="zh-CN"/>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F8CC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一次性使用无菌血液透析用中心静脉导管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广东百合</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双腔11.5Fr,外径：3.80，有效长度：25cm  复合装一体尖端（FH-2157）</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3B00">
            <w:pPr>
              <w:rPr>
                <w:rFonts w:hint="eastAsia" w:ascii="宋体" w:hAnsi="宋体" w:eastAsia="宋体" w:cs="宋体"/>
                <w:i w:val="0"/>
                <w:iCs w:val="0"/>
                <w:color w:val="000000"/>
                <w:sz w:val="22"/>
                <w:szCs w:val="22"/>
                <w:u w:val="none"/>
                <w:lang w:val="en-US" w:eastAsia="zh-CN"/>
              </w:rPr>
            </w:pP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4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86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EEE99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一次性使用无菌血液透析用中心静脉导管</w:t>
            </w:r>
          </w:p>
        </w:tc>
        <w:tc>
          <w:tcPr>
            <w:tcW w:w="134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广东百合</w:t>
            </w:r>
          </w:p>
        </w:tc>
        <w:tc>
          <w:tcPr>
            <w:tcW w:w="15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双腔11.5Fr,外径：3.80，有效长度：20cm  复合装一体尖端（FH-2156）</w:t>
            </w:r>
          </w:p>
        </w:tc>
        <w:tc>
          <w:tcPr>
            <w:tcW w:w="7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390</w:t>
            </w:r>
          </w:p>
        </w:tc>
        <w:tc>
          <w:tcPr>
            <w:tcW w:w="21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77ABC6">
            <w:pPr>
              <w:rPr>
                <w:rFonts w:hint="eastAsia" w:ascii="宋体" w:hAnsi="宋体" w:eastAsia="宋体" w:cs="宋体"/>
                <w:i w:val="0"/>
                <w:iCs w:val="0"/>
                <w:color w:val="000000"/>
                <w:sz w:val="22"/>
                <w:szCs w:val="22"/>
                <w:u w:val="none"/>
                <w:lang w:val="en-US" w:eastAsia="zh-CN"/>
              </w:rPr>
            </w:pP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BEC4E">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血液透析浓缩液</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广州百特</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10L,ACF0221</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7967">
            <w:pPr>
              <w:rPr>
                <w:rFonts w:hint="default" w:ascii="宋体" w:hAnsi="宋体" w:eastAsia="宋体" w:cs="宋体"/>
                <w:i w:val="0"/>
                <w:iCs w:val="0"/>
                <w:color w:val="000000"/>
                <w:sz w:val="22"/>
                <w:szCs w:val="22"/>
                <w:u w:val="none"/>
                <w:lang w:val="en-US" w:eastAsia="zh-CN"/>
              </w:rPr>
            </w:pP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3E39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血液透析浓缩液</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广州百特</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10L,ACF0231</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8EE2A">
            <w:pPr>
              <w:rPr>
                <w:rFonts w:hint="eastAsia" w:ascii="宋体" w:hAnsi="宋体" w:eastAsia="宋体" w:cs="宋体"/>
                <w:i w:val="0"/>
                <w:iCs w:val="0"/>
                <w:color w:val="000000"/>
                <w:sz w:val="22"/>
                <w:szCs w:val="22"/>
                <w:u w:val="none"/>
                <w:lang w:val="en-US" w:eastAsia="zh-CN"/>
              </w:rPr>
            </w:pP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03951">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血液透析浓缩液</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广州百特</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10L,ACF0331</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B9D0">
            <w:pPr>
              <w:rPr>
                <w:rFonts w:hint="eastAsia" w:ascii="宋体" w:hAnsi="宋体" w:eastAsia="宋体" w:cs="宋体"/>
                <w:i w:val="0"/>
                <w:iCs w:val="0"/>
                <w:color w:val="000000"/>
                <w:sz w:val="22"/>
                <w:szCs w:val="22"/>
                <w:u w:val="none"/>
                <w:lang w:val="en-US" w:eastAsia="zh-CN"/>
              </w:rPr>
            </w:pP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C2FB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血液透析浓缩液</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广州百特</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10L,BCF01</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1853">
            <w:pPr>
              <w:rPr>
                <w:rFonts w:hint="eastAsia" w:ascii="宋体" w:hAnsi="宋体" w:eastAsia="宋体" w:cs="宋体"/>
                <w:i w:val="0"/>
                <w:iCs w:val="0"/>
                <w:color w:val="000000"/>
                <w:sz w:val="22"/>
                <w:szCs w:val="22"/>
                <w:u w:val="none"/>
                <w:lang w:val="en-US" w:eastAsia="zh-CN"/>
              </w:rPr>
            </w:pP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F41C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血液透析及相关治疗用浓缩物</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广州白云山</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10L,MX01A</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EAA7">
            <w:pPr>
              <w:rPr>
                <w:rFonts w:hint="eastAsia" w:ascii="宋体" w:hAnsi="宋体" w:eastAsia="宋体" w:cs="宋体"/>
                <w:i w:val="0"/>
                <w:iCs w:val="0"/>
                <w:color w:val="000000"/>
                <w:sz w:val="22"/>
                <w:szCs w:val="22"/>
                <w:u w:val="none"/>
                <w:lang w:val="en-US" w:eastAsia="zh-CN"/>
              </w:rPr>
            </w:pPr>
          </w:p>
        </w:tc>
      </w:tr>
      <w:tr w14:paraId="6667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DF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0AD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920C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中心静脉导管套件</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5D2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柯惠</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11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8888145014</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61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45F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8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5669">
            <w:pPr>
              <w:rPr>
                <w:rFonts w:hint="eastAsia" w:ascii="宋体" w:hAnsi="宋体" w:eastAsia="宋体" w:cs="宋体"/>
                <w:i w:val="0"/>
                <w:iCs w:val="0"/>
                <w:color w:val="000000"/>
                <w:sz w:val="22"/>
                <w:szCs w:val="22"/>
                <w:u w:val="none"/>
                <w:lang w:val="en-US" w:eastAsia="zh-CN"/>
              </w:rPr>
            </w:pPr>
          </w:p>
        </w:tc>
      </w:tr>
      <w:tr w14:paraId="33E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42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DD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02AA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中心静脉导管套件</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B7C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柯惠</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D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8888145015</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65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A2C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3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DB7E7">
            <w:pPr>
              <w:rPr>
                <w:rFonts w:hint="eastAsia" w:ascii="宋体" w:hAnsi="宋体" w:eastAsia="宋体" w:cs="宋体"/>
                <w:i w:val="0"/>
                <w:iCs w:val="0"/>
                <w:color w:val="000000"/>
                <w:sz w:val="22"/>
                <w:szCs w:val="22"/>
                <w:u w:val="none"/>
                <w:lang w:val="en-US" w:eastAsia="zh-CN"/>
              </w:rPr>
            </w:pPr>
          </w:p>
        </w:tc>
      </w:tr>
      <w:tr w14:paraId="5D7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52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85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89A3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透析液过滤器</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DC1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贝朗爱敦</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A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Ultra</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B5C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6DE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2F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70D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适用设备：血液透析、血液透析滤过装置710500R</w:t>
            </w:r>
          </w:p>
        </w:tc>
      </w:tr>
      <w:tr w14:paraId="4B6C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33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27" w:name="_GoBack" w:colFirst="8" w:colLast="8"/>
            <w:r>
              <w:rPr>
                <w:rFonts w:hint="eastAsia" w:ascii="宋体" w:hAnsi="宋体" w:eastAsia="宋体" w:cs="宋体"/>
                <w:i w:val="0"/>
                <w:iCs w:val="0"/>
                <w:color w:val="000000"/>
                <w:kern w:val="0"/>
                <w:sz w:val="22"/>
                <w:szCs w:val="22"/>
                <w:u w:val="none"/>
                <w:lang w:val="en-US" w:eastAsia="zh-CN" w:bidi="ar"/>
              </w:rPr>
              <w:t>12</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69A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5E85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空心纤维血液透析滤过器</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0B0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费森尤斯</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4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Ultraflux AV600S</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B3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2AF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FF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2186" w:type="dxa"/>
            <w:tcBorders>
              <w:top w:val="single" w:color="auto" w:sz="4" w:space="0"/>
              <w:left w:val="single" w:color="auto" w:sz="4" w:space="0"/>
              <w:bottom w:val="single" w:color="auto" w:sz="4" w:space="0"/>
              <w:right w:val="single" w:color="auto" w:sz="4" w:space="0"/>
            </w:tcBorders>
            <w:shd w:val="clear"/>
            <w:noWrap/>
            <w:vAlign w:val="center"/>
          </w:tcPr>
          <w:p w14:paraId="5385DB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适用设备：急性透析和体外血液治疗机multiFiltrate with integrated Ci-Ca module</w:t>
            </w:r>
          </w:p>
        </w:tc>
      </w:tr>
      <w:tr w14:paraId="12E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9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2B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D459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空心纤维血液透析滤过器</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0DF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费森尤斯</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5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Ultraflux AV1000S</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CBF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24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C5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587.11</w:t>
            </w:r>
          </w:p>
        </w:tc>
        <w:tc>
          <w:tcPr>
            <w:tcW w:w="2186" w:type="dxa"/>
            <w:tcBorders>
              <w:top w:val="single" w:color="auto" w:sz="4" w:space="0"/>
              <w:left w:val="single" w:color="auto" w:sz="4" w:space="0"/>
              <w:bottom w:val="single" w:color="auto" w:sz="4" w:space="0"/>
              <w:right w:val="single" w:color="auto" w:sz="4" w:space="0"/>
            </w:tcBorders>
            <w:shd w:val="clear"/>
            <w:noWrap/>
            <w:vAlign w:val="center"/>
          </w:tcPr>
          <w:p w14:paraId="27F87F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适用设备：急性透析和体外血液治疗机multiFiltrate with integrated Ci-Ca module</w:t>
            </w:r>
          </w:p>
        </w:tc>
      </w:tr>
      <w:tr w14:paraId="122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0A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7F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EF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连续性血液净化管路</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D96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费森尤斯</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40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multiFiltrate Cassette</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1A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F84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E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2186" w:type="dxa"/>
            <w:tcBorders>
              <w:top w:val="single" w:color="auto" w:sz="4" w:space="0"/>
              <w:left w:val="single" w:color="auto" w:sz="4" w:space="0"/>
              <w:bottom w:val="single" w:color="auto" w:sz="4" w:space="0"/>
              <w:right w:val="single" w:color="auto" w:sz="4" w:space="0"/>
            </w:tcBorders>
            <w:shd w:val="clear"/>
            <w:noWrap/>
            <w:vAlign w:val="center"/>
          </w:tcPr>
          <w:p w14:paraId="0E3AA2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适用设备：急性透析和体外血液治疗机multiFiltrate with integrated Ci-Ca module</w:t>
            </w:r>
          </w:p>
        </w:tc>
      </w:tr>
      <w:tr w14:paraId="30F7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75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DE7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7951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连续性血液净化及血浆置换用辅助管路</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E4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费森尤斯</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A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Substituate System multiFiltrate</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5E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350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9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2186" w:type="dxa"/>
            <w:tcBorders>
              <w:top w:val="single" w:color="auto" w:sz="4" w:space="0"/>
              <w:left w:val="single" w:color="auto" w:sz="4" w:space="0"/>
              <w:bottom w:val="single" w:color="auto" w:sz="4" w:space="0"/>
              <w:right w:val="single" w:color="auto" w:sz="4" w:space="0"/>
            </w:tcBorders>
            <w:shd w:val="clear"/>
            <w:noWrap/>
            <w:vAlign w:val="center"/>
          </w:tcPr>
          <w:p w14:paraId="6F9477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适用设备：急性透析和体外血液治疗机multiFiltrate with integrated Ci-Ca module</w:t>
            </w:r>
          </w:p>
        </w:tc>
      </w:tr>
      <w:bookmarkEnd w:id="15"/>
      <w:tr w14:paraId="5C65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E7D6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14:paraId="753431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center"/>
          </w:tcPr>
          <w:p w14:paraId="02A2E8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连续性血液净化及血浆置换用辅助管路</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F6EED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费森尤斯</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27B2E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Dialysate System multiFiltrate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D09E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F287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C18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4CBDF2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适用设备：急性透析和体外血液治疗机multiFiltrate with integrated Ci-Ca module</w:t>
            </w:r>
          </w:p>
        </w:tc>
      </w:tr>
      <w:tr w14:paraId="332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A7B7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14:paraId="1FF040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center"/>
          </w:tcPr>
          <w:p w14:paraId="72642D6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血浆滤过器</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8A4F5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费森尤斯</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2B571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Plasma Flux P2 dry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5835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A55D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BFA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0" w:type="auto"/>
            <w:tcBorders>
              <w:top w:val="single" w:color="auto" w:sz="4" w:space="0"/>
              <w:left w:val="single" w:color="auto" w:sz="4" w:space="0"/>
              <w:bottom w:val="single" w:color="auto" w:sz="4" w:space="0"/>
              <w:right w:val="single" w:color="auto" w:sz="4" w:space="0"/>
            </w:tcBorders>
            <w:shd w:val="clear"/>
            <w:vAlign w:val="center"/>
          </w:tcPr>
          <w:p w14:paraId="76E1DC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适用设备：急性透析和体外血液治疗机multiFiltrate with integrated Ci-Ca module</w:t>
            </w:r>
          </w:p>
        </w:tc>
      </w:tr>
      <w:bookmarkEnd w:id="27"/>
      <w:tr w14:paraId="1A47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1250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14:paraId="56F6E1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center"/>
          </w:tcPr>
          <w:p w14:paraId="6844EEF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可吸收性组织加固材料</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D7B59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奈维</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5C0F44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NV-S-015G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6176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0B84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494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5B3285">
            <w:pPr>
              <w:rPr>
                <w:rFonts w:hint="eastAsia" w:ascii="宋体" w:hAnsi="宋体" w:eastAsia="宋体" w:cs="宋体"/>
                <w:i w:val="0"/>
                <w:iCs w:val="0"/>
                <w:color w:val="000000"/>
                <w:kern w:val="2"/>
                <w:sz w:val="22"/>
                <w:szCs w:val="22"/>
                <w:u w:val="none"/>
                <w:lang w:val="en-US" w:eastAsia="zh-CN" w:bidi="ar-SA"/>
              </w:rPr>
            </w:pPr>
          </w:p>
        </w:tc>
      </w:tr>
      <w:tr w14:paraId="7CCD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526D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14:paraId="392545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H</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center"/>
          </w:tcPr>
          <w:p w14:paraId="70A7932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胸骨固定板</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AD159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上海国颂</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59AE9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B型大号，22*13CM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2495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CE85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774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78B29C">
            <w:pPr>
              <w:rPr>
                <w:rFonts w:hint="eastAsia" w:ascii="宋体" w:hAnsi="宋体" w:eastAsia="宋体" w:cs="宋体"/>
                <w:i w:val="0"/>
                <w:iCs w:val="0"/>
                <w:color w:val="000000"/>
                <w:kern w:val="2"/>
                <w:sz w:val="22"/>
                <w:szCs w:val="22"/>
                <w:u w:val="none"/>
                <w:lang w:val="en-US" w:eastAsia="zh-CN" w:bidi="ar-SA"/>
              </w:rPr>
            </w:pPr>
          </w:p>
        </w:tc>
      </w:tr>
    </w:tbl>
    <w:p w14:paraId="0166B69F">
      <w:pPr>
        <w:pStyle w:val="8"/>
        <w:rPr>
          <w:rFonts w:hint="eastAsia"/>
        </w:rPr>
      </w:pPr>
    </w:p>
    <w:p w14:paraId="4FE2B587">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w:t>
      </w:r>
      <w:r>
        <w:rPr>
          <w:rFonts w:hint="eastAsia" w:ascii="宋体" w:hAnsi="宋体" w:cs="宋体"/>
          <w:b/>
          <w:bCs/>
          <w:color w:val="auto"/>
          <w:sz w:val="21"/>
          <w:szCs w:val="21"/>
          <w:lang w:eastAsia="zh-CN"/>
        </w:rPr>
        <w:t>，</w:t>
      </w:r>
      <w:r>
        <w:rPr>
          <w:rFonts w:hint="eastAsia" w:ascii="宋体" w:hAnsi="宋体" w:cs="宋体"/>
          <w:b/>
          <w:bCs/>
          <w:color w:val="auto"/>
          <w:sz w:val="21"/>
          <w:szCs w:val="21"/>
        </w:rPr>
        <w:t>供应商投哪些包，是以供应商在现场报名和谈判应答文件“产品报价表”中填报的内容进行识别和判断</w:t>
      </w:r>
      <w:r>
        <w:rPr>
          <w:rFonts w:hint="eastAsia" w:ascii="宋体" w:hAnsi="宋体" w:cs="宋体"/>
          <w:b/>
          <w:bCs/>
          <w:color w:val="auto"/>
          <w:sz w:val="21"/>
          <w:szCs w:val="21"/>
          <w:lang w:eastAsia="zh-CN"/>
        </w:rPr>
        <w:t>，并现场提供所投</w:t>
      </w:r>
      <w:r>
        <w:rPr>
          <w:rFonts w:hint="eastAsia" w:ascii="宋体" w:hAnsi="宋体" w:cs="宋体"/>
          <w:b/>
          <w:bCs/>
          <w:color w:val="auto"/>
          <w:sz w:val="21"/>
          <w:szCs w:val="21"/>
          <w:highlight w:val="none"/>
          <w:lang w:eastAsia="zh-CN"/>
        </w:rPr>
        <w:t>应答产品样品。</w:t>
      </w:r>
    </w:p>
    <w:p w14:paraId="729423E6">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。医院已开展医用耗材（试剂）院内供应链延伸服务（以下简称SPD），</w:t>
      </w:r>
      <w:r>
        <w:rPr>
          <w:rFonts w:hint="eastAsia" w:ascii="宋体" w:hAnsi="宋体" w:cs="宋体"/>
          <w:b/>
          <w:bCs/>
          <w:color w:val="auto"/>
          <w:sz w:val="21"/>
          <w:szCs w:val="21"/>
          <w:lang w:eastAsia="zh-CN"/>
        </w:rPr>
        <w:t>入院产品需纳入</w:t>
      </w:r>
      <w:r>
        <w:rPr>
          <w:rFonts w:hint="eastAsia" w:ascii="宋体" w:hAnsi="宋体" w:cs="宋体"/>
          <w:b/>
          <w:bCs/>
          <w:color w:val="auto"/>
          <w:sz w:val="21"/>
          <w:szCs w:val="21"/>
          <w:lang w:val="en-US" w:eastAsia="zh-CN"/>
        </w:rPr>
        <w:t>SPD 统一管理</w:t>
      </w:r>
      <w:r>
        <w:rPr>
          <w:rFonts w:hint="eastAsia" w:ascii="宋体" w:hAnsi="宋体" w:cs="宋体"/>
          <w:b/>
          <w:bCs/>
          <w:color w:val="auto"/>
          <w:sz w:val="21"/>
          <w:szCs w:val="21"/>
          <w:lang w:eastAsia="zh-CN"/>
        </w:rPr>
        <w:t>。</w:t>
      </w:r>
    </w:p>
    <w:p w14:paraId="0F6BAE87">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14:paraId="566CBB19">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14:paraId="55B86742">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非医疗器械需在应答文件中提供产品标签及实物照片。</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14:paraId="192401E9">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14:paraId="325E4628">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69C2CFE7">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2B2BC15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14:paraId="237ADE5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14:paraId="63FCC524">
      <w:pPr>
        <w:pStyle w:val="36"/>
        <w:pageBreakBefore w:val="0"/>
        <w:widowControl/>
        <w:kinsoku/>
        <w:wordWrap/>
        <w:overflowPunct/>
        <w:topLinePunct w:val="0"/>
        <w:autoSpaceDE/>
        <w:autoSpaceDN/>
        <w:bidi w:val="0"/>
        <w:adjustRightInd/>
        <w:snapToGrid/>
        <w:spacing w:line="300" w:lineRule="exact"/>
        <w:ind w:left="1050" w:leftChars="200" w:hanging="630" w:hangingChars="300"/>
        <w:jc w:val="left"/>
        <w:textAlignment w:val="auto"/>
        <w:rPr>
          <w:rFonts w:hint="eastAsia" w:ascii="宋体" w:hAnsi="宋体" w:cs="宋体"/>
          <w:b/>
          <w:bCs/>
          <w:color w:val="auto"/>
          <w:kern w:val="0"/>
          <w:sz w:val="21"/>
          <w:szCs w:val="21"/>
        </w:rPr>
      </w:pPr>
      <w:r>
        <w:rPr>
          <w:rFonts w:hint="eastAsia" w:ascii="宋体" w:hAnsi="宋体" w:cs="宋体"/>
          <w:color w:val="auto"/>
          <w:kern w:val="0"/>
          <w:sz w:val="21"/>
          <w:szCs w:val="21"/>
          <w:lang w:val="en-US" w:eastAsia="zh-CN"/>
        </w:rPr>
        <w:t xml:space="preserve"> </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所投各产品的医疗器械经营企业许可（备案）证、生产企业《医疗器械生产企业许可（备案）证》/非医疗器械或消字号产品生产厂家资质证明</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90C0EAD">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75DFB9F2">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14:paraId="76F43C70">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14:paraId="2A1DBAC7">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73240683">
      <w:pPr>
        <w:numPr>
          <w:ilvl w:val="0"/>
          <w:numId w:val="4"/>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所投各产品的医疗器械经营企业许可（备案）证、</w:t>
      </w:r>
    </w:p>
    <w:p w14:paraId="7B212BFF">
      <w:pPr>
        <w:numPr>
          <w:ilvl w:val="0"/>
          <w:numId w:val="0"/>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生产企业《医疗器械生产企业许可（备案）证》/</w:t>
      </w:r>
    </w:p>
    <w:p w14:paraId="13897570">
      <w:pPr>
        <w:numPr>
          <w:ilvl w:val="0"/>
          <w:numId w:val="0"/>
        </w:numPr>
        <w:jc w:val="center"/>
        <w:outlineLvl w:val="1"/>
        <w:rPr>
          <w:rFonts w:hint="default" w:ascii="Times New Roman" w:hAnsi="Times New Roman"/>
          <w:color w:val="auto"/>
          <w:sz w:val="28"/>
          <w:szCs w:val="28"/>
          <w:lang w:val="en-US"/>
        </w:rPr>
      </w:pPr>
      <w:r>
        <w:rPr>
          <w:rFonts w:hint="eastAsia" w:ascii="宋体" w:hAnsi="宋体" w:cs="宋体"/>
          <w:b/>
          <w:bCs/>
          <w:color w:val="auto"/>
          <w:sz w:val="32"/>
          <w:szCs w:val="32"/>
          <w:lang w:val="en-US" w:eastAsia="zh-CN"/>
        </w:rPr>
        <w:t>非医疗器械厂家资质证明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6B89713F">
      <w:pPr>
        <w:jc w:val="center"/>
        <w:outlineLvl w:val="1"/>
        <w:rPr>
          <w:rFonts w:ascii="Times New Roman" w:hAnsi="Times New Roman"/>
          <w:color w:val="auto"/>
          <w:sz w:val="28"/>
          <w:szCs w:val="28"/>
        </w:rPr>
      </w:pPr>
    </w:p>
    <w:p w14:paraId="00C0EF7A">
      <w:pPr>
        <w:jc w:val="center"/>
        <w:outlineLvl w:val="1"/>
        <w:rPr>
          <w:rFonts w:ascii="Times New Roman" w:hAnsi="Times New Roman"/>
          <w:color w:val="auto"/>
          <w:sz w:val="28"/>
          <w:szCs w:val="28"/>
        </w:rPr>
      </w:pPr>
    </w:p>
    <w:p w14:paraId="3BC63D14">
      <w:pPr>
        <w:jc w:val="center"/>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78449216">
      <w:pPr>
        <w:jc w:val="center"/>
        <w:outlineLvl w:val="1"/>
        <w:rPr>
          <w:rFonts w:ascii="Times New Roman" w:hAnsi="Times New Roman"/>
          <w:color w:val="auto"/>
          <w:sz w:val="28"/>
          <w:szCs w:val="28"/>
        </w:rPr>
      </w:pPr>
    </w:p>
    <w:p w14:paraId="59017C16">
      <w:pPr>
        <w:jc w:val="center"/>
        <w:outlineLvl w:val="1"/>
        <w:rPr>
          <w:rFonts w:ascii="Times New Roman" w:hAnsi="Times New Roman"/>
          <w:color w:val="auto"/>
          <w:sz w:val="28"/>
          <w:szCs w:val="28"/>
        </w:rPr>
      </w:pPr>
    </w:p>
    <w:p w14:paraId="53082F8D">
      <w:pPr>
        <w:jc w:val="center"/>
        <w:outlineLvl w:val="1"/>
        <w:rPr>
          <w:rFonts w:ascii="Times New Roman" w:hAnsi="Times New Roman"/>
          <w:color w:val="auto"/>
          <w:sz w:val="28"/>
          <w:szCs w:val="28"/>
        </w:rPr>
      </w:pPr>
    </w:p>
    <w:p w14:paraId="0898D8D4">
      <w:pPr>
        <w:jc w:val="center"/>
        <w:outlineLvl w:val="1"/>
        <w:rPr>
          <w:rFonts w:ascii="Times New Roman" w:hAnsi="Times New Roman"/>
          <w:color w:val="auto"/>
          <w:sz w:val="28"/>
          <w:szCs w:val="28"/>
        </w:rPr>
      </w:pPr>
    </w:p>
    <w:p w14:paraId="7C829BDE">
      <w:pPr>
        <w:jc w:val="center"/>
        <w:outlineLvl w:val="1"/>
        <w:rPr>
          <w:rFonts w:ascii="Times New Roman" w:hAnsi="Times New Roman"/>
          <w:color w:val="auto"/>
          <w:sz w:val="28"/>
          <w:szCs w:val="28"/>
        </w:rPr>
      </w:pPr>
    </w:p>
    <w:p w14:paraId="19674050">
      <w:pPr>
        <w:jc w:val="center"/>
        <w:outlineLvl w:val="1"/>
        <w:rPr>
          <w:rFonts w:ascii="Times New Roman" w:hAnsi="Times New Roman"/>
          <w:color w:val="auto"/>
          <w:sz w:val="28"/>
          <w:szCs w:val="28"/>
        </w:rPr>
      </w:pPr>
    </w:p>
    <w:p w14:paraId="40A7E73F">
      <w:pPr>
        <w:jc w:val="center"/>
        <w:outlineLvl w:val="1"/>
        <w:rPr>
          <w:rFonts w:ascii="Times New Roman" w:hAnsi="Times New Roman"/>
          <w:color w:val="auto"/>
          <w:sz w:val="28"/>
          <w:szCs w:val="28"/>
        </w:rPr>
      </w:pPr>
    </w:p>
    <w:p w14:paraId="349A7DB4">
      <w:pPr>
        <w:jc w:val="center"/>
        <w:outlineLvl w:val="1"/>
        <w:rPr>
          <w:rFonts w:ascii="Times New Roman" w:hAnsi="Times New Roman"/>
          <w:color w:val="auto"/>
          <w:sz w:val="28"/>
          <w:szCs w:val="28"/>
        </w:rPr>
      </w:pPr>
    </w:p>
    <w:p w14:paraId="19D578C9">
      <w:pPr>
        <w:jc w:val="center"/>
        <w:outlineLvl w:val="1"/>
        <w:rPr>
          <w:rFonts w:ascii="Times New Roman" w:hAnsi="Times New Roman"/>
          <w:color w:val="auto"/>
          <w:sz w:val="28"/>
          <w:szCs w:val="28"/>
        </w:rPr>
      </w:pPr>
    </w:p>
    <w:p w14:paraId="21096542">
      <w:pPr>
        <w:jc w:val="center"/>
        <w:outlineLvl w:val="1"/>
        <w:rPr>
          <w:rFonts w:ascii="Times New Roman" w:hAnsi="Times New Roman"/>
          <w:color w:val="auto"/>
          <w:sz w:val="28"/>
          <w:szCs w:val="28"/>
        </w:rPr>
      </w:pPr>
    </w:p>
    <w:p w14:paraId="28E25892">
      <w:pPr>
        <w:jc w:val="center"/>
        <w:outlineLvl w:val="1"/>
        <w:rPr>
          <w:rFonts w:ascii="Times New Roman" w:hAnsi="Times New Roman"/>
          <w:color w:val="auto"/>
          <w:sz w:val="28"/>
          <w:szCs w:val="28"/>
        </w:rPr>
      </w:pPr>
    </w:p>
    <w:p w14:paraId="3E8F4A27">
      <w:pPr>
        <w:jc w:val="center"/>
        <w:outlineLvl w:val="1"/>
        <w:rPr>
          <w:rFonts w:ascii="Times New Roman" w:hAnsi="Times New Roman"/>
          <w:color w:val="auto"/>
          <w:sz w:val="28"/>
          <w:szCs w:val="28"/>
        </w:rPr>
      </w:pPr>
    </w:p>
    <w:p w14:paraId="3D14F5BC">
      <w:pPr>
        <w:jc w:val="center"/>
        <w:outlineLvl w:val="1"/>
        <w:rPr>
          <w:rFonts w:ascii="Times New Roman" w:hAnsi="Times New Roman"/>
          <w:color w:val="auto"/>
          <w:sz w:val="28"/>
          <w:szCs w:val="28"/>
        </w:rPr>
      </w:pPr>
    </w:p>
    <w:p w14:paraId="36144903">
      <w:pPr>
        <w:jc w:val="center"/>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3B856E14">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14:paraId="15C9C210">
      <w:pPr>
        <w:jc w:val="center"/>
        <w:rPr>
          <w:rFonts w:ascii="Times New Roman" w:hAnsi="Times New Roman"/>
          <w:color w:val="auto"/>
          <w:sz w:val="28"/>
          <w:szCs w:val="28"/>
        </w:rPr>
      </w:pPr>
    </w:p>
    <w:p w14:paraId="7B00D6BC">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十二</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12</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采购项目（十二）</w:t>
      </w:r>
      <w:r>
        <w:rPr>
          <w:rFonts w:hint="eastAsia" w:ascii="宋体" w:hAnsi="宋体"/>
          <w:color w:val="auto"/>
          <w:sz w:val="24"/>
        </w:rPr>
        <w:t>（项目编号：</w:t>
      </w:r>
      <w:r>
        <w:rPr>
          <w:rFonts w:hint="eastAsia" w:hAnsi="宋体"/>
          <w:color w:val="auto"/>
          <w:sz w:val="24"/>
          <w:u w:val="single"/>
          <w:lang w:val="en-US" w:eastAsia="zh-CN"/>
        </w:rPr>
        <w:t>LHZXYY-YYHC-2025-12</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A92A82D">
      <w:pPr>
        <w:spacing w:line="360" w:lineRule="auto"/>
        <w:ind w:firstLine="420"/>
        <w:rPr>
          <w:rFonts w:hint="eastAsia" w:ascii="宋体" w:hAnsi="宋体"/>
          <w:color w:val="auto"/>
          <w:sz w:val="24"/>
        </w:rPr>
      </w:pPr>
      <w:r>
        <w:rPr>
          <w:rFonts w:hint="eastAsia" w:ascii="宋体" w:hAnsi="宋体"/>
          <w:color w:val="auto"/>
          <w:sz w:val="24"/>
        </w:rPr>
        <w:t>邮政编码：　　　　　　　　　　　　　日期：</w:t>
      </w:r>
    </w:p>
    <w:p w14:paraId="0ACBF787">
      <w:pPr>
        <w:spacing w:line="360" w:lineRule="auto"/>
        <w:ind w:firstLine="42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十二</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12</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8"/>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852" w:type="dxa"/>
        <w:tblInd w:w="-17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353"/>
        <w:gridCol w:w="1322"/>
        <w:gridCol w:w="835"/>
        <w:gridCol w:w="1807"/>
        <w:gridCol w:w="1514"/>
        <w:gridCol w:w="2223"/>
        <w:gridCol w:w="1382"/>
        <w:gridCol w:w="982"/>
        <w:gridCol w:w="1173"/>
        <w:gridCol w:w="1311"/>
      </w:tblGrid>
      <w:tr w14:paraId="7D38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9" w:hRule="atLeast"/>
          <w:tblHeader/>
        </w:trPr>
        <w:tc>
          <w:tcPr>
            <w:tcW w:w="448" w:type="dxa"/>
            <w:noWrap w:val="0"/>
            <w:vAlign w:val="center"/>
          </w:tcPr>
          <w:p w14:paraId="0431B87C">
            <w:pPr>
              <w:jc w:val="center"/>
              <w:rPr>
                <w:rFonts w:hint="eastAsia"/>
                <w:b/>
                <w:bCs/>
                <w:color w:val="auto"/>
                <w:sz w:val="24"/>
                <w:szCs w:val="24"/>
              </w:rPr>
            </w:pPr>
            <w:r>
              <w:rPr>
                <w:rFonts w:hint="eastAsia"/>
                <w:b/>
                <w:bCs/>
                <w:color w:val="auto"/>
                <w:sz w:val="24"/>
                <w:szCs w:val="24"/>
              </w:rPr>
              <w:t>序号</w:t>
            </w:r>
          </w:p>
        </w:tc>
        <w:tc>
          <w:tcPr>
            <w:tcW w:w="502" w:type="dxa"/>
            <w:noWrap w:val="0"/>
            <w:vAlign w:val="center"/>
          </w:tcPr>
          <w:p w14:paraId="4317EA1B">
            <w:pPr>
              <w:jc w:val="center"/>
              <w:rPr>
                <w:rFonts w:hint="eastAsia"/>
                <w:b/>
                <w:bCs/>
                <w:color w:val="auto"/>
                <w:sz w:val="24"/>
                <w:szCs w:val="24"/>
              </w:rPr>
            </w:pPr>
            <w:r>
              <w:rPr>
                <w:rFonts w:hint="eastAsia"/>
                <w:b/>
                <w:bCs/>
                <w:color w:val="auto"/>
                <w:sz w:val="24"/>
                <w:szCs w:val="24"/>
              </w:rPr>
              <w:t>包号</w:t>
            </w:r>
          </w:p>
        </w:tc>
        <w:tc>
          <w:tcPr>
            <w:tcW w:w="1353" w:type="dxa"/>
            <w:noWrap w:val="0"/>
            <w:vAlign w:val="center"/>
          </w:tcPr>
          <w:p w14:paraId="63F1BD96">
            <w:pPr>
              <w:jc w:val="center"/>
              <w:rPr>
                <w:rFonts w:hint="eastAsia"/>
                <w:b/>
                <w:bCs/>
                <w:color w:val="auto"/>
                <w:sz w:val="24"/>
                <w:szCs w:val="24"/>
              </w:rPr>
            </w:pPr>
            <w:r>
              <w:rPr>
                <w:rFonts w:hint="eastAsia"/>
                <w:b/>
                <w:bCs/>
                <w:color w:val="auto"/>
                <w:sz w:val="24"/>
                <w:szCs w:val="24"/>
              </w:rPr>
              <w:t>医用耗材名称</w:t>
            </w:r>
          </w:p>
        </w:tc>
        <w:tc>
          <w:tcPr>
            <w:tcW w:w="1322" w:type="dxa"/>
            <w:noWrap w:val="0"/>
            <w:vAlign w:val="center"/>
          </w:tcPr>
          <w:p w14:paraId="3D1EBA3F">
            <w:pPr>
              <w:jc w:val="center"/>
              <w:rPr>
                <w:rFonts w:hint="eastAsia"/>
                <w:b/>
                <w:bCs/>
                <w:color w:val="auto"/>
                <w:sz w:val="24"/>
                <w:szCs w:val="24"/>
                <w:lang w:eastAsia="zh-CN"/>
              </w:rPr>
            </w:pPr>
            <w:r>
              <w:rPr>
                <w:rFonts w:hint="eastAsia"/>
                <w:b/>
                <w:bCs/>
                <w:color w:val="auto"/>
                <w:sz w:val="24"/>
                <w:szCs w:val="24"/>
                <w:lang w:eastAsia="zh-CN"/>
              </w:rPr>
              <w:t>医用耗材</w:t>
            </w:r>
          </w:p>
          <w:p w14:paraId="08663AAA">
            <w:pPr>
              <w:jc w:val="center"/>
              <w:rPr>
                <w:rFonts w:hint="eastAsia" w:eastAsia="宋体"/>
                <w:b/>
                <w:bCs/>
                <w:color w:val="auto"/>
                <w:sz w:val="24"/>
                <w:szCs w:val="24"/>
                <w:lang w:eastAsia="zh-CN"/>
              </w:rPr>
            </w:pPr>
            <w:r>
              <w:rPr>
                <w:rFonts w:hint="eastAsia"/>
                <w:b/>
                <w:bCs/>
                <w:color w:val="auto"/>
                <w:sz w:val="24"/>
                <w:szCs w:val="24"/>
                <w:lang w:eastAsia="zh-CN"/>
              </w:rPr>
              <w:t>规格型号</w:t>
            </w:r>
          </w:p>
        </w:tc>
        <w:tc>
          <w:tcPr>
            <w:tcW w:w="835" w:type="dxa"/>
            <w:shd w:val="clear" w:color="auto" w:fill="auto"/>
            <w:noWrap w:val="0"/>
            <w:vAlign w:val="center"/>
          </w:tcPr>
          <w:p w14:paraId="71B5CDFD">
            <w:pPr>
              <w:jc w:val="center"/>
              <w:rPr>
                <w:rFonts w:hint="eastAsia" w:ascii="Calibri" w:hAnsi="Calibri" w:eastAsia="宋体" w:cs="Times New Roman"/>
                <w:b/>
                <w:bCs/>
                <w:color w:val="auto"/>
                <w:kern w:val="2"/>
                <w:sz w:val="24"/>
                <w:szCs w:val="24"/>
                <w:lang w:val="en-US" w:eastAsia="zh-CN" w:bidi="ar-SA"/>
              </w:rPr>
            </w:pPr>
            <w:r>
              <w:rPr>
                <w:rFonts w:hint="eastAsia"/>
                <w:b/>
                <w:bCs/>
                <w:color w:val="auto"/>
                <w:sz w:val="24"/>
                <w:szCs w:val="24"/>
              </w:rPr>
              <w:t>计量单位</w:t>
            </w:r>
          </w:p>
        </w:tc>
        <w:tc>
          <w:tcPr>
            <w:tcW w:w="1807"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514"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2223"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382"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982"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173"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311"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r>
      <w:tr w14:paraId="43E7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14:paraId="3713CCED">
            <w:pPr>
              <w:spacing w:line="360" w:lineRule="auto"/>
              <w:jc w:val="center"/>
              <w:rPr>
                <w:rFonts w:ascii="Times New Roman" w:hAnsi="Times New Roman"/>
                <w:color w:val="auto"/>
                <w:sz w:val="24"/>
              </w:rPr>
            </w:pPr>
          </w:p>
        </w:tc>
        <w:tc>
          <w:tcPr>
            <w:tcW w:w="502" w:type="dxa"/>
            <w:noWrap w:val="0"/>
            <w:vAlign w:val="top"/>
          </w:tcPr>
          <w:p w14:paraId="1A0E9B52">
            <w:pPr>
              <w:spacing w:line="360" w:lineRule="auto"/>
              <w:jc w:val="center"/>
              <w:rPr>
                <w:rFonts w:hint="eastAsia" w:ascii="Times New Roman" w:hAnsi="Times New Roman"/>
                <w:color w:val="auto"/>
                <w:sz w:val="24"/>
              </w:rPr>
            </w:pPr>
          </w:p>
        </w:tc>
        <w:tc>
          <w:tcPr>
            <w:tcW w:w="1353" w:type="dxa"/>
            <w:noWrap w:val="0"/>
            <w:vAlign w:val="center"/>
          </w:tcPr>
          <w:p w14:paraId="51B4AF8C">
            <w:pPr>
              <w:tabs>
                <w:tab w:val="left" w:pos="540"/>
              </w:tabs>
              <w:spacing w:line="360" w:lineRule="auto"/>
              <w:jc w:val="center"/>
              <w:rPr>
                <w:rFonts w:ascii="Times New Roman" w:hAnsi="Times New Roman"/>
                <w:color w:val="auto"/>
                <w:sz w:val="24"/>
              </w:rPr>
            </w:pPr>
          </w:p>
        </w:tc>
        <w:tc>
          <w:tcPr>
            <w:tcW w:w="1322" w:type="dxa"/>
            <w:noWrap w:val="0"/>
            <w:vAlign w:val="center"/>
          </w:tcPr>
          <w:p w14:paraId="6AE2C237">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1B05414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020C00E">
            <w:pPr>
              <w:tabs>
                <w:tab w:val="left" w:pos="548"/>
              </w:tabs>
              <w:spacing w:line="360" w:lineRule="auto"/>
              <w:jc w:val="center"/>
              <w:rPr>
                <w:rFonts w:ascii="Times New Roman" w:hAnsi="Times New Roman"/>
                <w:color w:val="auto"/>
                <w:sz w:val="24"/>
              </w:rPr>
            </w:pPr>
          </w:p>
        </w:tc>
        <w:tc>
          <w:tcPr>
            <w:tcW w:w="1514" w:type="dxa"/>
            <w:noWrap w:val="0"/>
            <w:vAlign w:val="center"/>
          </w:tcPr>
          <w:p w14:paraId="4CA8D4A6">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382"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982" w:type="dxa"/>
            <w:noWrap w:val="0"/>
            <w:vAlign w:val="center"/>
          </w:tcPr>
          <w:p w14:paraId="0206608C">
            <w:pPr>
              <w:tabs>
                <w:tab w:val="left" w:pos="548"/>
              </w:tabs>
              <w:spacing w:line="360" w:lineRule="auto"/>
              <w:jc w:val="center"/>
              <w:rPr>
                <w:rFonts w:ascii="Times New Roman" w:hAnsi="Times New Roman"/>
                <w:color w:val="auto"/>
                <w:sz w:val="24"/>
              </w:rPr>
            </w:pPr>
          </w:p>
        </w:tc>
        <w:tc>
          <w:tcPr>
            <w:tcW w:w="1173" w:type="dxa"/>
            <w:noWrap w:val="0"/>
            <w:vAlign w:val="center"/>
          </w:tcPr>
          <w:p w14:paraId="6B296D67">
            <w:pPr>
              <w:tabs>
                <w:tab w:val="left" w:pos="548"/>
              </w:tabs>
              <w:spacing w:line="360" w:lineRule="auto"/>
              <w:jc w:val="center"/>
              <w:rPr>
                <w:rFonts w:ascii="Times New Roman" w:hAnsi="Times New Roman"/>
                <w:color w:val="auto"/>
                <w:sz w:val="24"/>
              </w:rPr>
            </w:pPr>
          </w:p>
        </w:tc>
        <w:tc>
          <w:tcPr>
            <w:tcW w:w="1311" w:type="dxa"/>
            <w:noWrap w:val="0"/>
            <w:vAlign w:val="center"/>
          </w:tcPr>
          <w:p w14:paraId="7D0DE964">
            <w:pPr>
              <w:tabs>
                <w:tab w:val="left" w:pos="548"/>
              </w:tabs>
              <w:spacing w:line="360" w:lineRule="auto"/>
              <w:jc w:val="center"/>
              <w:rPr>
                <w:rFonts w:ascii="Times New Roman" w:hAnsi="Times New Roman"/>
                <w:color w:val="auto"/>
                <w:sz w:val="24"/>
              </w:rPr>
            </w:pPr>
          </w:p>
        </w:tc>
      </w:tr>
      <w:tr w14:paraId="537D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noWrap w:val="0"/>
            <w:vAlign w:val="center"/>
          </w:tcPr>
          <w:p w14:paraId="5239AA54">
            <w:pPr>
              <w:spacing w:line="360" w:lineRule="auto"/>
              <w:jc w:val="center"/>
              <w:rPr>
                <w:rFonts w:ascii="Times New Roman" w:hAnsi="Times New Roman"/>
                <w:bCs/>
                <w:color w:val="auto"/>
                <w:sz w:val="24"/>
              </w:rPr>
            </w:pPr>
          </w:p>
        </w:tc>
        <w:tc>
          <w:tcPr>
            <w:tcW w:w="502" w:type="dxa"/>
            <w:noWrap w:val="0"/>
            <w:vAlign w:val="top"/>
          </w:tcPr>
          <w:p w14:paraId="782AA106">
            <w:pPr>
              <w:spacing w:line="360" w:lineRule="auto"/>
              <w:jc w:val="center"/>
              <w:rPr>
                <w:rFonts w:hint="eastAsia" w:ascii="Times New Roman" w:hAnsi="Times New Roman"/>
                <w:color w:val="auto"/>
                <w:sz w:val="24"/>
              </w:rPr>
            </w:pPr>
          </w:p>
        </w:tc>
        <w:tc>
          <w:tcPr>
            <w:tcW w:w="1353" w:type="dxa"/>
            <w:noWrap w:val="0"/>
            <w:vAlign w:val="center"/>
          </w:tcPr>
          <w:p w14:paraId="546BA40A">
            <w:pPr>
              <w:tabs>
                <w:tab w:val="left" w:pos="540"/>
              </w:tabs>
              <w:spacing w:line="360" w:lineRule="auto"/>
              <w:jc w:val="center"/>
              <w:rPr>
                <w:rFonts w:ascii="Times New Roman" w:hAnsi="Times New Roman"/>
                <w:color w:val="auto"/>
                <w:sz w:val="24"/>
              </w:rPr>
            </w:pPr>
          </w:p>
        </w:tc>
        <w:tc>
          <w:tcPr>
            <w:tcW w:w="1322" w:type="dxa"/>
            <w:noWrap w:val="0"/>
            <w:vAlign w:val="center"/>
          </w:tcPr>
          <w:p w14:paraId="70E646F8">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5858D5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2C55355">
            <w:pPr>
              <w:tabs>
                <w:tab w:val="left" w:pos="548"/>
              </w:tabs>
              <w:spacing w:line="360" w:lineRule="auto"/>
              <w:jc w:val="center"/>
              <w:rPr>
                <w:rFonts w:ascii="Times New Roman" w:hAnsi="Times New Roman"/>
                <w:color w:val="auto"/>
                <w:sz w:val="24"/>
              </w:rPr>
            </w:pPr>
          </w:p>
        </w:tc>
        <w:tc>
          <w:tcPr>
            <w:tcW w:w="1514" w:type="dxa"/>
            <w:noWrap w:val="0"/>
            <w:vAlign w:val="center"/>
          </w:tcPr>
          <w:p w14:paraId="1D41B1D2">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4A1DAF24">
            <w:pPr>
              <w:tabs>
                <w:tab w:val="left" w:pos="548"/>
              </w:tabs>
              <w:spacing w:line="360" w:lineRule="auto"/>
              <w:jc w:val="center"/>
              <w:rPr>
                <w:rFonts w:ascii="Times New Roman" w:hAnsi="Times New Roman"/>
                <w:color w:val="auto"/>
                <w:sz w:val="24"/>
              </w:rPr>
            </w:pPr>
          </w:p>
        </w:tc>
        <w:tc>
          <w:tcPr>
            <w:tcW w:w="982" w:type="dxa"/>
            <w:noWrap w:val="0"/>
            <w:vAlign w:val="center"/>
          </w:tcPr>
          <w:p w14:paraId="19D76614">
            <w:pPr>
              <w:tabs>
                <w:tab w:val="left" w:pos="548"/>
              </w:tabs>
              <w:spacing w:line="360" w:lineRule="auto"/>
              <w:jc w:val="center"/>
              <w:rPr>
                <w:rFonts w:ascii="Times New Roman" w:hAnsi="Times New Roman"/>
                <w:color w:val="auto"/>
                <w:sz w:val="24"/>
              </w:rPr>
            </w:pPr>
          </w:p>
        </w:tc>
        <w:tc>
          <w:tcPr>
            <w:tcW w:w="1173" w:type="dxa"/>
            <w:noWrap w:val="0"/>
            <w:vAlign w:val="center"/>
          </w:tcPr>
          <w:p w14:paraId="07ABE998">
            <w:pPr>
              <w:tabs>
                <w:tab w:val="left" w:pos="548"/>
              </w:tabs>
              <w:spacing w:line="360" w:lineRule="auto"/>
              <w:jc w:val="center"/>
              <w:rPr>
                <w:rFonts w:ascii="Times New Roman" w:hAnsi="Times New Roman"/>
                <w:color w:val="auto"/>
                <w:sz w:val="24"/>
              </w:rPr>
            </w:pPr>
          </w:p>
        </w:tc>
        <w:tc>
          <w:tcPr>
            <w:tcW w:w="1311" w:type="dxa"/>
            <w:noWrap w:val="0"/>
            <w:vAlign w:val="center"/>
          </w:tcPr>
          <w:p w14:paraId="363901E8">
            <w:pPr>
              <w:tabs>
                <w:tab w:val="left" w:pos="548"/>
              </w:tabs>
              <w:spacing w:line="360" w:lineRule="auto"/>
              <w:jc w:val="center"/>
              <w:rPr>
                <w:rFonts w:ascii="Times New Roman" w:hAnsi="Times New Roman"/>
                <w:color w:val="auto"/>
                <w:sz w:val="24"/>
              </w:rPr>
            </w:pPr>
          </w:p>
        </w:tc>
      </w:tr>
      <w:tr w14:paraId="644F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14:paraId="75303344">
            <w:pPr>
              <w:spacing w:line="360" w:lineRule="auto"/>
              <w:jc w:val="center"/>
              <w:rPr>
                <w:rFonts w:ascii="Times New Roman" w:hAnsi="Times New Roman"/>
                <w:bCs/>
                <w:color w:val="auto"/>
                <w:sz w:val="24"/>
              </w:rPr>
            </w:pPr>
          </w:p>
        </w:tc>
        <w:tc>
          <w:tcPr>
            <w:tcW w:w="502" w:type="dxa"/>
            <w:noWrap w:val="0"/>
            <w:vAlign w:val="top"/>
          </w:tcPr>
          <w:p w14:paraId="7E3020E6">
            <w:pPr>
              <w:spacing w:line="360" w:lineRule="auto"/>
              <w:jc w:val="center"/>
              <w:rPr>
                <w:rFonts w:ascii="Times New Roman" w:hAnsi="Times New Roman"/>
                <w:color w:val="auto"/>
                <w:sz w:val="24"/>
              </w:rPr>
            </w:pPr>
          </w:p>
        </w:tc>
        <w:tc>
          <w:tcPr>
            <w:tcW w:w="1353" w:type="dxa"/>
            <w:noWrap w:val="0"/>
            <w:vAlign w:val="center"/>
          </w:tcPr>
          <w:p w14:paraId="7AD96834">
            <w:pPr>
              <w:tabs>
                <w:tab w:val="left" w:pos="540"/>
              </w:tabs>
              <w:spacing w:line="360" w:lineRule="auto"/>
              <w:jc w:val="center"/>
              <w:rPr>
                <w:rFonts w:ascii="Times New Roman" w:hAnsi="Times New Roman"/>
                <w:color w:val="auto"/>
                <w:sz w:val="24"/>
              </w:rPr>
            </w:pPr>
          </w:p>
        </w:tc>
        <w:tc>
          <w:tcPr>
            <w:tcW w:w="1322" w:type="dxa"/>
            <w:noWrap w:val="0"/>
            <w:vAlign w:val="center"/>
          </w:tcPr>
          <w:p w14:paraId="4D9360AD">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1FF0505">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97BD3E2">
            <w:pPr>
              <w:tabs>
                <w:tab w:val="left" w:pos="548"/>
              </w:tabs>
              <w:spacing w:line="360" w:lineRule="auto"/>
              <w:jc w:val="center"/>
              <w:rPr>
                <w:rFonts w:ascii="Times New Roman" w:hAnsi="Times New Roman"/>
                <w:color w:val="auto"/>
                <w:sz w:val="24"/>
              </w:rPr>
            </w:pPr>
          </w:p>
        </w:tc>
        <w:tc>
          <w:tcPr>
            <w:tcW w:w="1514" w:type="dxa"/>
            <w:noWrap w:val="0"/>
            <w:vAlign w:val="center"/>
          </w:tcPr>
          <w:p w14:paraId="36E87B11">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7EA4D6BD">
            <w:pPr>
              <w:tabs>
                <w:tab w:val="left" w:pos="548"/>
              </w:tabs>
              <w:spacing w:line="360" w:lineRule="auto"/>
              <w:jc w:val="center"/>
              <w:rPr>
                <w:rFonts w:ascii="Times New Roman" w:hAnsi="Times New Roman"/>
                <w:color w:val="auto"/>
                <w:sz w:val="24"/>
              </w:rPr>
            </w:pPr>
          </w:p>
        </w:tc>
        <w:tc>
          <w:tcPr>
            <w:tcW w:w="982" w:type="dxa"/>
            <w:noWrap w:val="0"/>
            <w:vAlign w:val="center"/>
          </w:tcPr>
          <w:p w14:paraId="062F0DAA">
            <w:pPr>
              <w:tabs>
                <w:tab w:val="left" w:pos="548"/>
              </w:tabs>
              <w:spacing w:line="360" w:lineRule="auto"/>
              <w:jc w:val="center"/>
              <w:rPr>
                <w:rFonts w:ascii="Times New Roman" w:hAnsi="Times New Roman"/>
                <w:color w:val="auto"/>
                <w:sz w:val="24"/>
              </w:rPr>
            </w:pPr>
          </w:p>
        </w:tc>
        <w:tc>
          <w:tcPr>
            <w:tcW w:w="1173" w:type="dxa"/>
            <w:noWrap w:val="0"/>
            <w:vAlign w:val="center"/>
          </w:tcPr>
          <w:p w14:paraId="63B9414B">
            <w:pPr>
              <w:tabs>
                <w:tab w:val="left" w:pos="548"/>
              </w:tabs>
              <w:spacing w:line="360" w:lineRule="auto"/>
              <w:jc w:val="center"/>
              <w:rPr>
                <w:rFonts w:ascii="Times New Roman" w:hAnsi="Times New Roman"/>
                <w:color w:val="auto"/>
                <w:sz w:val="24"/>
              </w:rPr>
            </w:pPr>
          </w:p>
        </w:tc>
        <w:tc>
          <w:tcPr>
            <w:tcW w:w="1311" w:type="dxa"/>
            <w:noWrap w:val="0"/>
            <w:vAlign w:val="center"/>
          </w:tcPr>
          <w:p w14:paraId="7E579FD4">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rPr>
        <w:t>1.“序号”、“包号”、“医用耗材名称”、“</w:t>
      </w:r>
      <w:r>
        <w:rPr>
          <w:rFonts w:hint="eastAsia"/>
          <w:b/>
          <w:bCs/>
          <w:color w:val="auto"/>
          <w:sz w:val="21"/>
          <w:szCs w:val="21"/>
          <w:lang w:eastAsia="zh-CN"/>
        </w:rPr>
        <w:t>医用耗材规格型号</w:t>
      </w:r>
      <w:r>
        <w:rPr>
          <w:rFonts w:hint="eastAsia"/>
          <w:b/>
          <w:bCs/>
          <w:color w:val="auto"/>
          <w:sz w:val="21"/>
          <w:szCs w:val="21"/>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九、</w:t>
      </w:r>
      <w:r>
        <w:rPr>
          <w:rFonts w:hint="eastAsia" w:ascii="宋体" w:hAnsi="宋体" w:cs="宋体"/>
          <w:b/>
          <w:bCs/>
          <w:color w:val="auto"/>
          <w:sz w:val="36"/>
          <w:szCs w:val="36"/>
          <w:lang w:eastAsia="zh-CN"/>
        </w:rPr>
        <w:t>产品注册证、备案证</w:t>
      </w:r>
    </w:p>
    <w:p w14:paraId="48ED7A1F">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8"/>
      </w:pPr>
    </w:p>
    <w:p w14:paraId="72D9D71B">
      <w:pPr>
        <w:pStyle w:val="8"/>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4"/>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88E7F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14:paraId="5618C69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14:paraId="552BBE4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14:paraId="0745F55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14:paraId="5402628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1EA1B6BC">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14:paraId="4CB5D8BD">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14:paraId="59337A6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14:paraId="36F939C5">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1E2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240887">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D11B8C">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14:paraId="539BF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4781F02">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69290FA">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14:paraId="321A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D77AFB8">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DB8C9D2">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14:paraId="095F4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6881BB16">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D47B5E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14:paraId="7786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2D3F829">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87822D8">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6E72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63EC1C7">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B26B234">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14:paraId="37BC3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6755A2A">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B68688E">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14:paraId="3B02E842">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518318DC"/>
    <w:multiLevelType w:val="singleLevel"/>
    <w:tmpl w:val="518318DC"/>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A87DD2"/>
    <w:rsid w:val="02D536F9"/>
    <w:rsid w:val="03241D96"/>
    <w:rsid w:val="034309DD"/>
    <w:rsid w:val="036A2745"/>
    <w:rsid w:val="03993BA4"/>
    <w:rsid w:val="03D0757C"/>
    <w:rsid w:val="04523CC6"/>
    <w:rsid w:val="04B9758D"/>
    <w:rsid w:val="04BB1D35"/>
    <w:rsid w:val="04BC3C04"/>
    <w:rsid w:val="04F45ECD"/>
    <w:rsid w:val="0508464F"/>
    <w:rsid w:val="056C3E5A"/>
    <w:rsid w:val="059E36F3"/>
    <w:rsid w:val="05E76E48"/>
    <w:rsid w:val="06F96B5C"/>
    <w:rsid w:val="07724E37"/>
    <w:rsid w:val="078F24AF"/>
    <w:rsid w:val="07DA20B6"/>
    <w:rsid w:val="07DF6421"/>
    <w:rsid w:val="07EF2560"/>
    <w:rsid w:val="07EF46DA"/>
    <w:rsid w:val="081C2E86"/>
    <w:rsid w:val="081D4837"/>
    <w:rsid w:val="08366C44"/>
    <w:rsid w:val="084479D0"/>
    <w:rsid w:val="089D2198"/>
    <w:rsid w:val="09365842"/>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2518AB"/>
    <w:rsid w:val="0C2A3F33"/>
    <w:rsid w:val="0C831AF6"/>
    <w:rsid w:val="0C8D47C2"/>
    <w:rsid w:val="0CBF1E81"/>
    <w:rsid w:val="0CC646E6"/>
    <w:rsid w:val="0CE00A95"/>
    <w:rsid w:val="0D5C5622"/>
    <w:rsid w:val="0D8A30AA"/>
    <w:rsid w:val="0D8D29CB"/>
    <w:rsid w:val="0D9A2597"/>
    <w:rsid w:val="0DBF0B79"/>
    <w:rsid w:val="0E593567"/>
    <w:rsid w:val="0E790AF9"/>
    <w:rsid w:val="0F0A1DF9"/>
    <w:rsid w:val="0F13724E"/>
    <w:rsid w:val="0F477F16"/>
    <w:rsid w:val="0F511234"/>
    <w:rsid w:val="0F634E10"/>
    <w:rsid w:val="0F8317BD"/>
    <w:rsid w:val="0F96503F"/>
    <w:rsid w:val="10435315"/>
    <w:rsid w:val="105674B4"/>
    <w:rsid w:val="109179FB"/>
    <w:rsid w:val="109515FE"/>
    <w:rsid w:val="10C06C14"/>
    <w:rsid w:val="1288116E"/>
    <w:rsid w:val="13345697"/>
    <w:rsid w:val="13360078"/>
    <w:rsid w:val="13C92A2E"/>
    <w:rsid w:val="142C6722"/>
    <w:rsid w:val="14953C54"/>
    <w:rsid w:val="1497356F"/>
    <w:rsid w:val="153C6900"/>
    <w:rsid w:val="15433117"/>
    <w:rsid w:val="156C7ED1"/>
    <w:rsid w:val="158B596F"/>
    <w:rsid w:val="159468C1"/>
    <w:rsid w:val="15B05167"/>
    <w:rsid w:val="15B20524"/>
    <w:rsid w:val="15CF7422"/>
    <w:rsid w:val="16442095"/>
    <w:rsid w:val="164C5E5C"/>
    <w:rsid w:val="16821794"/>
    <w:rsid w:val="16B0708C"/>
    <w:rsid w:val="16E159B6"/>
    <w:rsid w:val="16F20BF9"/>
    <w:rsid w:val="1713427F"/>
    <w:rsid w:val="17232523"/>
    <w:rsid w:val="187C3D68"/>
    <w:rsid w:val="18E137F3"/>
    <w:rsid w:val="192518EC"/>
    <w:rsid w:val="197607B7"/>
    <w:rsid w:val="19E6347B"/>
    <w:rsid w:val="1A0E2E1D"/>
    <w:rsid w:val="1A7647E7"/>
    <w:rsid w:val="1AA93EB6"/>
    <w:rsid w:val="1AE8560C"/>
    <w:rsid w:val="1AF901C7"/>
    <w:rsid w:val="1B721993"/>
    <w:rsid w:val="1B904522"/>
    <w:rsid w:val="1B980F3B"/>
    <w:rsid w:val="1BE4359C"/>
    <w:rsid w:val="1BEF3F11"/>
    <w:rsid w:val="1C747108"/>
    <w:rsid w:val="1CE32891"/>
    <w:rsid w:val="1CEF333C"/>
    <w:rsid w:val="1D230C56"/>
    <w:rsid w:val="1D8D614C"/>
    <w:rsid w:val="1D997423"/>
    <w:rsid w:val="1DE013A9"/>
    <w:rsid w:val="1E07627E"/>
    <w:rsid w:val="1E2A695D"/>
    <w:rsid w:val="1E774C45"/>
    <w:rsid w:val="1FD83E26"/>
    <w:rsid w:val="20163D63"/>
    <w:rsid w:val="204C0134"/>
    <w:rsid w:val="20A4360F"/>
    <w:rsid w:val="20AA51EA"/>
    <w:rsid w:val="21703D3E"/>
    <w:rsid w:val="21D31266"/>
    <w:rsid w:val="220B397A"/>
    <w:rsid w:val="22737F8A"/>
    <w:rsid w:val="22752E64"/>
    <w:rsid w:val="23101A50"/>
    <w:rsid w:val="23360B3D"/>
    <w:rsid w:val="235065E9"/>
    <w:rsid w:val="23A35AC0"/>
    <w:rsid w:val="23A81EB5"/>
    <w:rsid w:val="23C5629D"/>
    <w:rsid w:val="23E9602A"/>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A81B9F"/>
    <w:rsid w:val="28B03E9C"/>
    <w:rsid w:val="28E04C85"/>
    <w:rsid w:val="28F76D48"/>
    <w:rsid w:val="28F92CBF"/>
    <w:rsid w:val="29656152"/>
    <w:rsid w:val="29A05376"/>
    <w:rsid w:val="29AA7515"/>
    <w:rsid w:val="2AA95298"/>
    <w:rsid w:val="2AB87E81"/>
    <w:rsid w:val="2AC76725"/>
    <w:rsid w:val="2ADD3C0D"/>
    <w:rsid w:val="2AF02ACB"/>
    <w:rsid w:val="2B2877F6"/>
    <w:rsid w:val="2B571DC8"/>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264BA4"/>
    <w:rsid w:val="33296443"/>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512C9F"/>
    <w:rsid w:val="37896685"/>
    <w:rsid w:val="37AA40C2"/>
    <w:rsid w:val="37CC094C"/>
    <w:rsid w:val="37F32AA8"/>
    <w:rsid w:val="37F64244"/>
    <w:rsid w:val="386808FA"/>
    <w:rsid w:val="38995E18"/>
    <w:rsid w:val="38D80F63"/>
    <w:rsid w:val="38E72296"/>
    <w:rsid w:val="390E2362"/>
    <w:rsid w:val="396C3A44"/>
    <w:rsid w:val="39BC359D"/>
    <w:rsid w:val="3A0B79AA"/>
    <w:rsid w:val="3A3F1290"/>
    <w:rsid w:val="3A6A181A"/>
    <w:rsid w:val="3A751F6D"/>
    <w:rsid w:val="3AC61DB7"/>
    <w:rsid w:val="3AC84793"/>
    <w:rsid w:val="3B365BA1"/>
    <w:rsid w:val="3B85242E"/>
    <w:rsid w:val="3BAC26EF"/>
    <w:rsid w:val="3BAD3B3F"/>
    <w:rsid w:val="3BB74FDC"/>
    <w:rsid w:val="3C442F4E"/>
    <w:rsid w:val="3C816151"/>
    <w:rsid w:val="3D1E069A"/>
    <w:rsid w:val="3D2D4B0C"/>
    <w:rsid w:val="3D872A51"/>
    <w:rsid w:val="3DEF61C7"/>
    <w:rsid w:val="3F8E13C3"/>
    <w:rsid w:val="3F8E6EC1"/>
    <w:rsid w:val="3FC0140B"/>
    <w:rsid w:val="3FD2734B"/>
    <w:rsid w:val="3FD610BB"/>
    <w:rsid w:val="40013D8E"/>
    <w:rsid w:val="404E1454"/>
    <w:rsid w:val="40531FA6"/>
    <w:rsid w:val="40761DB1"/>
    <w:rsid w:val="40B86888"/>
    <w:rsid w:val="40C2384C"/>
    <w:rsid w:val="40F57964"/>
    <w:rsid w:val="41760AA5"/>
    <w:rsid w:val="42416A1D"/>
    <w:rsid w:val="42461F0E"/>
    <w:rsid w:val="43106CD7"/>
    <w:rsid w:val="435267EA"/>
    <w:rsid w:val="43CD0816"/>
    <w:rsid w:val="43EA7C4E"/>
    <w:rsid w:val="44000F82"/>
    <w:rsid w:val="449E2BE4"/>
    <w:rsid w:val="44F97CF4"/>
    <w:rsid w:val="453951AD"/>
    <w:rsid w:val="4562373F"/>
    <w:rsid w:val="457D04BF"/>
    <w:rsid w:val="45EF0C72"/>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707D58"/>
    <w:rsid w:val="54805394"/>
    <w:rsid w:val="54BB7492"/>
    <w:rsid w:val="54DA7145"/>
    <w:rsid w:val="54FB77E7"/>
    <w:rsid w:val="5531151C"/>
    <w:rsid w:val="55480552"/>
    <w:rsid w:val="555F28B8"/>
    <w:rsid w:val="558A2919"/>
    <w:rsid w:val="558A2A21"/>
    <w:rsid w:val="55A62403"/>
    <w:rsid w:val="56C96783"/>
    <w:rsid w:val="5729313F"/>
    <w:rsid w:val="574A08A6"/>
    <w:rsid w:val="57AA1525"/>
    <w:rsid w:val="5822279A"/>
    <w:rsid w:val="58775D4B"/>
    <w:rsid w:val="58DB4CF9"/>
    <w:rsid w:val="592E180D"/>
    <w:rsid w:val="593D5EF8"/>
    <w:rsid w:val="59EC5ABE"/>
    <w:rsid w:val="5A5534F6"/>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59087D"/>
    <w:rsid w:val="5F97635E"/>
    <w:rsid w:val="5F9A5E4E"/>
    <w:rsid w:val="6095259B"/>
    <w:rsid w:val="60FC0262"/>
    <w:rsid w:val="610F2BF3"/>
    <w:rsid w:val="6132414A"/>
    <w:rsid w:val="613C540F"/>
    <w:rsid w:val="6142595A"/>
    <w:rsid w:val="615E5832"/>
    <w:rsid w:val="61C84EF5"/>
    <w:rsid w:val="620507F7"/>
    <w:rsid w:val="62104EDF"/>
    <w:rsid w:val="623D1B1E"/>
    <w:rsid w:val="62436594"/>
    <w:rsid w:val="628A41A8"/>
    <w:rsid w:val="62A20D2E"/>
    <w:rsid w:val="62E0626E"/>
    <w:rsid w:val="63273904"/>
    <w:rsid w:val="63665A8C"/>
    <w:rsid w:val="637C10B3"/>
    <w:rsid w:val="63924D47"/>
    <w:rsid w:val="63B17435"/>
    <w:rsid w:val="63E842AA"/>
    <w:rsid w:val="64750A9E"/>
    <w:rsid w:val="64C203E2"/>
    <w:rsid w:val="654F4FE5"/>
    <w:rsid w:val="65640A91"/>
    <w:rsid w:val="65BC5C6A"/>
    <w:rsid w:val="65C33769"/>
    <w:rsid w:val="66035AA8"/>
    <w:rsid w:val="66040068"/>
    <w:rsid w:val="662B4868"/>
    <w:rsid w:val="66912F14"/>
    <w:rsid w:val="66DE6971"/>
    <w:rsid w:val="67017E53"/>
    <w:rsid w:val="67515045"/>
    <w:rsid w:val="676A327D"/>
    <w:rsid w:val="67A6414A"/>
    <w:rsid w:val="67C45485"/>
    <w:rsid w:val="67E06685"/>
    <w:rsid w:val="680A680D"/>
    <w:rsid w:val="68282A93"/>
    <w:rsid w:val="684A3B49"/>
    <w:rsid w:val="688D4DB7"/>
    <w:rsid w:val="68985541"/>
    <w:rsid w:val="68C44CF8"/>
    <w:rsid w:val="68E1689C"/>
    <w:rsid w:val="692D1AD8"/>
    <w:rsid w:val="69344241"/>
    <w:rsid w:val="69E6588C"/>
    <w:rsid w:val="6A350974"/>
    <w:rsid w:val="6A4C4226"/>
    <w:rsid w:val="6A60594D"/>
    <w:rsid w:val="6AC74446"/>
    <w:rsid w:val="6AE6503B"/>
    <w:rsid w:val="6B6B3F40"/>
    <w:rsid w:val="6BD87520"/>
    <w:rsid w:val="6CC92C25"/>
    <w:rsid w:val="6CF40CBA"/>
    <w:rsid w:val="6D1877CD"/>
    <w:rsid w:val="6D384DFD"/>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F11F0B"/>
    <w:rsid w:val="773A6D2D"/>
    <w:rsid w:val="777D3C34"/>
    <w:rsid w:val="77842113"/>
    <w:rsid w:val="77BA20C7"/>
    <w:rsid w:val="77F9775E"/>
    <w:rsid w:val="781500F7"/>
    <w:rsid w:val="7831514A"/>
    <w:rsid w:val="78BA65A1"/>
    <w:rsid w:val="7946709B"/>
    <w:rsid w:val="79D33BAE"/>
    <w:rsid w:val="79F857F4"/>
    <w:rsid w:val="7A9471BD"/>
    <w:rsid w:val="7AA31401"/>
    <w:rsid w:val="7B2A3451"/>
    <w:rsid w:val="7B413E46"/>
    <w:rsid w:val="7B421B96"/>
    <w:rsid w:val="7B450F0D"/>
    <w:rsid w:val="7BDF7DFC"/>
    <w:rsid w:val="7C292C93"/>
    <w:rsid w:val="7C440408"/>
    <w:rsid w:val="7C9659A2"/>
    <w:rsid w:val="7CA35A26"/>
    <w:rsid w:val="7CF234C2"/>
    <w:rsid w:val="7D1F4201"/>
    <w:rsid w:val="7D20673C"/>
    <w:rsid w:val="7D2635FE"/>
    <w:rsid w:val="7DAD68CA"/>
    <w:rsid w:val="7DF93FF2"/>
    <w:rsid w:val="7E6C5322"/>
    <w:rsid w:val="7EA877E8"/>
    <w:rsid w:val="7EC438AE"/>
    <w:rsid w:val="7F361EB2"/>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4"/>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8107</Words>
  <Characters>8826</Characters>
  <Lines>119</Lines>
  <Paragraphs>33</Paragraphs>
  <TotalTime>1</TotalTime>
  <ScaleCrop>false</ScaleCrop>
  <LinksUpToDate>false</LinksUpToDate>
  <CharactersWithSpaces>9326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荷-臭臭</cp:lastModifiedBy>
  <cp:lastPrinted>2023-08-11T00:43:00Z</cp:lastPrinted>
  <dcterms:modified xsi:type="dcterms:W3CDTF">2025-06-23T07:19:30Z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DF96D0DCC0BA4BCF9926C000498BD751_13</vt:lpwstr>
  </property>
  <property fmtid="{D5CDD505-2E9C-101B-9397-08002B2CF9AE}" pid="4" name="KSOTemplateDocerSaveRecord">
    <vt:lpwstr>eyJoZGlkIjoiZTU3Mjk0ZTYxMWRlN2RjYTY1ODg0ZWM3NmMyYTAwYTMiLCJ1c2VySWQiOiIzOTU2NzMzMDQifQ==</vt:lpwstr>
  </property>
</Properties>
</file>